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A5D00" w14:textId="77777777" w:rsidR="00221129" w:rsidRDefault="00000000">
      <w:pPr>
        <w:pStyle w:val="a3"/>
        <w:spacing w:before="360"/>
      </w:pPr>
      <w:r>
        <w:t>DaVinci Resolve 21 Standard Immersive 快速研究筆記</w:t>
      </w:r>
    </w:p>
    <w:p w14:paraId="3EBEAD7B" w14:textId="77777777" w:rsidR="00221129" w:rsidRDefault="00000000">
      <w:pPr>
        <w:spacing w:after="120"/>
        <w:jc w:val="center"/>
      </w:pPr>
      <w:r>
        <w:t>整理日期：</w:t>
      </w:r>
      <w:r>
        <w:t>2026-06-14</w:t>
      </w:r>
      <w:r>
        <w:t>。依據本資料夾截圖與</w:t>
      </w:r>
      <w:r>
        <w:t xml:space="preserve"> Blackmagic Design </w:t>
      </w:r>
      <w:r>
        <w:t>官方文件整理。</w:t>
      </w:r>
    </w:p>
    <w:p w14:paraId="3412286B" w14:textId="77777777" w:rsidR="00221129" w:rsidRDefault="00000000">
      <w:pPr>
        <w:pStyle w:val="1"/>
        <w:spacing w:before="320"/>
      </w:pPr>
      <w:r>
        <w:t>一、Standard Immersive 專案設定</w:t>
      </w:r>
    </w:p>
    <w:p w14:paraId="37A55774" w14:textId="77777777" w:rsidR="00221129" w:rsidRDefault="00000000">
      <w:pPr>
        <w:spacing w:after="120"/>
      </w:pPr>
      <w:r>
        <w:t xml:space="preserve">Resolve 21 </w:t>
      </w:r>
      <w:r>
        <w:t>支援</w:t>
      </w:r>
      <w:r>
        <w:t xml:space="preserve"> VR180 / VR360 </w:t>
      </w:r>
      <w:r>
        <w:t>的</w:t>
      </w:r>
      <w:r>
        <w:t xml:space="preserve"> Standard Immersive </w:t>
      </w:r>
      <w:r>
        <w:t>工作流程。建立</w:t>
      </w:r>
      <w:r>
        <w:t xml:space="preserve"> VR </w:t>
      </w:r>
      <w:r>
        <w:t>專案時，先到</w:t>
      </w:r>
      <w:r>
        <w:t xml:space="preserve"> </w:t>
      </w:r>
      <w:r>
        <w:rPr>
          <w:b/>
          <w:bCs/>
        </w:rPr>
        <w:t>Project Settings &gt; Master Settings &gt; Immersive workflows</w:t>
      </w:r>
      <w:r>
        <w:t xml:space="preserve"> </w:t>
      </w:r>
      <w:r>
        <w:t>選</w:t>
      </w:r>
      <w:r>
        <w:t xml:space="preserve"> </w:t>
      </w:r>
      <w:r>
        <w:rPr>
          <w:b/>
          <w:bCs/>
        </w:rPr>
        <w:t>Standard Immersive</w:t>
      </w:r>
      <w:r>
        <w:t>。</w:t>
      </w:r>
    </w:p>
    <w:p w14:paraId="5D18DB06" w14:textId="77777777" w:rsidR="00221129" w:rsidRDefault="00000000">
      <w:pPr>
        <w:spacing w:before="80" w:after="40"/>
        <w:jc w:val="center"/>
      </w:pPr>
      <w:r>
        <w:rPr>
          <w:noProof/>
        </w:rPr>
        <w:drawing>
          <wp:inline distT="0" distB="0" distL="0" distR="0" wp14:anchorId="529DEB1D" wp14:editId="0F518CF5">
            <wp:extent cx="5334000" cy="2066925"/>
            <wp:effectExtent l="0" t="0" r="0" b="0"/>
            <wp:docPr id="1" name="截圖 2026-06-14 凌晨1.03.37.png" descr="圖 1：Project Settings 中把 Immersive workflows 設為 Standard Immersive，並使用 5760 × 2880 的 VR360 2:1 時間軸比例。" title="圖 1：Project Settings 中把 Immersive workflows 設為 Standard Immersive，並使用 5760 × 2880 的 VR360 2:1 時間軸比例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765E0" w14:textId="77777777" w:rsidR="00221129" w:rsidRDefault="00000000">
      <w:pPr>
        <w:pStyle w:val="ac"/>
      </w:pPr>
      <w:r>
        <w:t>圖 1：Project Settings 中把 Immersive workflows 設為 Standard Immersive，並使用 5760 × 2880 的 VR360 2:1 時間軸比例。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60" w:type="dxa"/>
          <w:bottom w:w="120" w:type="dxa"/>
          <w:right w:w="160" w:type="dxa"/>
        </w:tblCellMar>
        <w:tblLook w:val="04A0" w:firstRow="1" w:lastRow="0" w:firstColumn="1" w:lastColumn="0" w:noHBand="0" w:noVBand="1"/>
      </w:tblPr>
      <w:tblGrid>
        <w:gridCol w:w="2500"/>
        <w:gridCol w:w="6860"/>
      </w:tblGrid>
      <w:tr w:rsidR="00221129" w14:paraId="6AE83C8A" w14:textId="77777777">
        <w:trPr>
          <w:tblHeader/>
        </w:trPr>
        <w:tc>
          <w:tcPr>
            <w:tcW w:w="2500" w:type="dxa"/>
            <w:tcBorders>
              <w:top w:val="single" w:sz="1" w:space="0" w:color="D7DCE2"/>
              <w:left w:val="single" w:sz="1" w:space="0" w:color="D7DCE2"/>
              <w:bottom w:val="single" w:sz="1" w:space="0" w:color="D7DCE2"/>
              <w:right w:val="single" w:sz="1" w:space="0" w:color="D7DCE2"/>
            </w:tcBorders>
            <w:shd w:val="clear" w:color="auto" w:fill="E9EEF4"/>
            <w:vAlign w:val="center"/>
          </w:tcPr>
          <w:p w14:paraId="542BFD0B" w14:textId="77777777" w:rsidR="00221129" w:rsidRDefault="00000000">
            <w:r>
              <w:rPr>
                <w:b/>
                <w:bCs/>
              </w:rPr>
              <w:t>項目</w:t>
            </w:r>
          </w:p>
        </w:tc>
        <w:tc>
          <w:tcPr>
            <w:tcW w:w="6860" w:type="dxa"/>
            <w:tcBorders>
              <w:top w:val="single" w:sz="1" w:space="0" w:color="D7DCE2"/>
              <w:left w:val="single" w:sz="1" w:space="0" w:color="D7DCE2"/>
              <w:bottom w:val="single" w:sz="1" w:space="0" w:color="D7DCE2"/>
              <w:right w:val="single" w:sz="1" w:space="0" w:color="D7DCE2"/>
            </w:tcBorders>
            <w:shd w:val="clear" w:color="auto" w:fill="E9EEF4"/>
            <w:vAlign w:val="center"/>
          </w:tcPr>
          <w:p w14:paraId="36977174" w14:textId="77777777" w:rsidR="00221129" w:rsidRDefault="00000000">
            <w:r>
              <w:rPr>
                <w:b/>
                <w:bCs/>
              </w:rPr>
              <w:t>設定</w:t>
            </w:r>
          </w:p>
        </w:tc>
      </w:tr>
      <w:tr w:rsidR="00221129" w14:paraId="2D1FBED8" w14:textId="77777777">
        <w:tc>
          <w:tcPr>
            <w:tcW w:w="2500" w:type="dxa"/>
            <w:tcBorders>
              <w:top w:val="single" w:sz="1" w:space="0" w:color="D7DCE2"/>
              <w:left w:val="single" w:sz="1" w:space="0" w:color="D7DCE2"/>
              <w:bottom w:val="single" w:sz="1" w:space="0" w:color="D7DCE2"/>
              <w:right w:val="single" w:sz="1" w:space="0" w:color="D7DCE2"/>
            </w:tcBorders>
            <w:vAlign w:val="center"/>
          </w:tcPr>
          <w:p w14:paraId="6A676C52" w14:textId="77777777" w:rsidR="00221129" w:rsidRDefault="00000000">
            <w:r>
              <w:t>Timeline resolution</w:t>
            </w:r>
          </w:p>
        </w:tc>
        <w:tc>
          <w:tcPr>
            <w:tcW w:w="6860" w:type="dxa"/>
            <w:tcBorders>
              <w:top w:val="single" w:sz="1" w:space="0" w:color="D7DCE2"/>
              <w:left w:val="single" w:sz="1" w:space="0" w:color="D7DCE2"/>
              <w:bottom w:val="single" w:sz="1" w:space="0" w:color="D7DCE2"/>
              <w:right w:val="single" w:sz="1" w:space="0" w:color="D7DCE2"/>
            </w:tcBorders>
            <w:vAlign w:val="center"/>
          </w:tcPr>
          <w:p w14:paraId="1CB37F1A" w14:textId="6F90A585" w:rsidR="00221129" w:rsidRDefault="00000000">
            <w:r>
              <w:t xml:space="preserve">VR360 </w:t>
            </w:r>
            <w:r>
              <w:t>可使用</w:t>
            </w:r>
            <w:r>
              <w:t xml:space="preserve"> 2:1</w:t>
            </w:r>
            <w:r w:rsidR="002E406A">
              <w:rPr>
                <w:rFonts w:hint="eastAsia"/>
              </w:rPr>
              <w:t>（</w:t>
            </w:r>
            <w:r w:rsidR="002E406A">
              <w:t>mono</w:t>
            </w:r>
            <w:r w:rsidR="002E406A">
              <w:rPr>
                <w:rFonts w:hint="eastAsia"/>
              </w:rPr>
              <w:t>）</w:t>
            </w:r>
            <w:r>
              <w:t>，例如</w:t>
            </w:r>
            <w:r>
              <w:t xml:space="preserve"> 5760 × 2880</w:t>
            </w:r>
            <w:r>
              <w:t>；</w:t>
            </w:r>
            <w:r>
              <w:t xml:space="preserve">VR180 </w:t>
            </w:r>
            <w:r>
              <w:t>常見為</w:t>
            </w:r>
            <w:r>
              <w:t xml:space="preserve"> 1:1</w:t>
            </w:r>
            <w:r w:rsidR="002E406A">
              <w:t>(mono)</w:t>
            </w:r>
            <w:r>
              <w:t>。</w:t>
            </w:r>
          </w:p>
        </w:tc>
      </w:tr>
      <w:tr w:rsidR="00221129" w14:paraId="76C07F1D" w14:textId="77777777">
        <w:tc>
          <w:tcPr>
            <w:tcW w:w="2500" w:type="dxa"/>
            <w:tcBorders>
              <w:top w:val="single" w:sz="1" w:space="0" w:color="D7DCE2"/>
              <w:left w:val="single" w:sz="1" w:space="0" w:color="D7DCE2"/>
              <w:bottom w:val="single" w:sz="1" w:space="0" w:color="D7DCE2"/>
              <w:right w:val="single" w:sz="1" w:space="0" w:color="D7DCE2"/>
            </w:tcBorders>
            <w:vAlign w:val="center"/>
          </w:tcPr>
          <w:p w14:paraId="35E9395D" w14:textId="77777777" w:rsidR="00221129" w:rsidRDefault="00000000">
            <w:r>
              <w:t>Immersive workflows</w:t>
            </w:r>
          </w:p>
        </w:tc>
        <w:tc>
          <w:tcPr>
            <w:tcW w:w="6860" w:type="dxa"/>
            <w:tcBorders>
              <w:top w:val="single" w:sz="1" w:space="0" w:color="D7DCE2"/>
              <w:left w:val="single" w:sz="1" w:space="0" w:color="D7DCE2"/>
              <w:bottom w:val="single" w:sz="1" w:space="0" w:color="D7DCE2"/>
              <w:right w:val="single" w:sz="1" w:space="0" w:color="D7DCE2"/>
            </w:tcBorders>
            <w:vAlign w:val="center"/>
          </w:tcPr>
          <w:p w14:paraId="4F4A76E8" w14:textId="77777777" w:rsidR="00221129" w:rsidRDefault="00000000">
            <w:r>
              <w:t>Standard Immersive</w:t>
            </w:r>
            <w:r>
              <w:t>。</w:t>
            </w:r>
          </w:p>
        </w:tc>
      </w:tr>
      <w:tr w:rsidR="00221129" w14:paraId="4E616851" w14:textId="77777777">
        <w:tc>
          <w:tcPr>
            <w:tcW w:w="2500" w:type="dxa"/>
            <w:tcBorders>
              <w:top w:val="single" w:sz="1" w:space="0" w:color="D7DCE2"/>
              <w:left w:val="single" w:sz="1" w:space="0" w:color="D7DCE2"/>
              <w:bottom w:val="single" w:sz="1" w:space="0" w:color="D7DCE2"/>
              <w:right w:val="single" w:sz="1" w:space="0" w:color="D7DCE2"/>
            </w:tcBorders>
            <w:vAlign w:val="center"/>
          </w:tcPr>
          <w:p w14:paraId="51D97DC2" w14:textId="77777777" w:rsidR="00221129" w:rsidRDefault="00000000">
            <w:r>
              <w:t>Pixel aspect ratio</w:t>
            </w:r>
          </w:p>
        </w:tc>
        <w:tc>
          <w:tcPr>
            <w:tcW w:w="6860" w:type="dxa"/>
            <w:tcBorders>
              <w:top w:val="single" w:sz="1" w:space="0" w:color="D7DCE2"/>
              <w:left w:val="single" w:sz="1" w:space="0" w:color="D7DCE2"/>
              <w:bottom w:val="single" w:sz="1" w:space="0" w:color="D7DCE2"/>
              <w:right w:val="single" w:sz="1" w:space="0" w:color="D7DCE2"/>
            </w:tcBorders>
            <w:vAlign w:val="center"/>
          </w:tcPr>
          <w:p w14:paraId="1FBA6FD8" w14:textId="77777777" w:rsidR="00221129" w:rsidRDefault="00000000">
            <w:r>
              <w:t>通常維持</w:t>
            </w:r>
            <w:r>
              <w:t xml:space="preserve"> Square</w:t>
            </w:r>
            <w:r>
              <w:t>。</w:t>
            </w:r>
          </w:p>
        </w:tc>
      </w:tr>
    </w:tbl>
    <w:p w14:paraId="09EBC3C5" w14:textId="77777777" w:rsidR="00221129" w:rsidRDefault="00000000">
      <w:pPr>
        <w:pStyle w:val="1"/>
        <w:spacing w:before="320"/>
      </w:pPr>
      <w:r>
        <w:t>二、Clip Attributes：Stereoscopic 與 Projection</w:t>
      </w:r>
    </w:p>
    <w:p w14:paraId="34C215F6" w14:textId="77777777" w:rsidR="00221129" w:rsidRDefault="00000000">
      <w:pPr>
        <w:spacing w:after="120"/>
      </w:pPr>
      <w:r>
        <w:t>匯入</w:t>
      </w:r>
      <w:r>
        <w:t xml:space="preserve"> VR </w:t>
      </w:r>
      <w:r>
        <w:t>素材後，在</w:t>
      </w:r>
      <w:r>
        <w:t xml:space="preserve"> Clip Attributes </w:t>
      </w:r>
      <w:r>
        <w:t>指定左右眼排列與投影格式。</w:t>
      </w:r>
    </w:p>
    <w:p w14:paraId="14D15D74" w14:textId="77777777" w:rsidR="00221129" w:rsidRDefault="00000000">
      <w:pPr>
        <w:pStyle w:val="a4"/>
        <w:numPr>
          <w:ilvl w:val="0"/>
          <w:numId w:val="2"/>
        </w:numPr>
        <w:spacing w:after="90"/>
      </w:pPr>
      <w:r>
        <w:t>在</w:t>
      </w:r>
      <w:r>
        <w:t xml:space="preserve"> Media Pool </w:t>
      </w:r>
      <w:r>
        <w:t>選取一個或多個</w:t>
      </w:r>
      <w:r>
        <w:t xml:space="preserve"> VR clip</w:t>
      </w:r>
      <w:r>
        <w:t>。</w:t>
      </w:r>
    </w:p>
    <w:p w14:paraId="3EFAF1E0" w14:textId="77777777" w:rsidR="00221129" w:rsidRDefault="00000000">
      <w:pPr>
        <w:pStyle w:val="a4"/>
        <w:numPr>
          <w:ilvl w:val="0"/>
          <w:numId w:val="2"/>
        </w:numPr>
        <w:spacing w:after="90"/>
      </w:pPr>
      <w:r>
        <w:t>右鍵選</w:t>
      </w:r>
      <w:r>
        <w:t xml:space="preserve"> Clip Attributes</w:t>
      </w:r>
      <w:r>
        <w:t>。</w:t>
      </w:r>
    </w:p>
    <w:p w14:paraId="3C1DE3D6" w14:textId="77777777" w:rsidR="00221129" w:rsidRDefault="00000000">
      <w:pPr>
        <w:pStyle w:val="a4"/>
        <w:numPr>
          <w:ilvl w:val="0"/>
          <w:numId w:val="2"/>
        </w:numPr>
        <w:spacing w:after="90"/>
      </w:pPr>
      <w:r>
        <w:t>在</w:t>
      </w:r>
      <w:r>
        <w:t xml:space="preserve"> Video tab </w:t>
      </w:r>
      <w:r>
        <w:t>設定</w:t>
      </w:r>
      <w:r>
        <w:t xml:space="preserve"> Stereoscopic Mode </w:t>
      </w:r>
      <w:r>
        <w:t>與</w:t>
      </w:r>
      <w:r>
        <w:t xml:space="preserve"> Projection Format</w:t>
      </w:r>
      <w:r>
        <w:t>。</w:t>
      </w:r>
    </w:p>
    <w:p w14:paraId="61BA4AD4" w14:textId="77777777" w:rsidR="00221129" w:rsidRDefault="00000000">
      <w:pPr>
        <w:pStyle w:val="a4"/>
        <w:numPr>
          <w:ilvl w:val="0"/>
          <w:numId w:val="2"/>
        </w:numPr>
        <w:spacing w:after="90"/>
      </w:pPr>
      <w:r>
        <w:t>此例為</w:t>
      </w:r>
      <w:r>
        <w:t xml:space="preserve"> Side by Side </w:t>
      </w:r>
      <w:r>
        <w:t>與</w:t>
      </w:r>
      <w:r>
        <w:t xml:space="preserve"> Equirectangular 180°</w:t>
      </w:r>
      <w:r>
        <w:t>。</w:t>
      </w:r>
    </w:p>
    <w:p w14:paraId="42D588CC" w14:textId="77777777" w:rsidR="00221129" w:rsidRDefault="00000000">
      <w:pPr>
        <w:spacing w:before="80" w:after="40"/>
        <w:jc w:val="center"/>
      </w:pPr>
      <w:r>
        <w:rPr>
          <w:noProof/>
        </w:rPr>
        <w:lastRenderedPageBreak/>
        <w:drawing>
          <wp:inline distT="0" distB="0" distL="0" distR="0" wp14:anchorId="4699492D" wp14:editId="019929B4">
            <wp:extent cx="5334000" cy="1885950"/>
            <wp:effectExtent l="0" t="0" r="0" b="0"/>
            <wp:docPr id="1649068653" name="截圖 2026-06-14 凌晨1.04.13.png" descr="圖 2：Clip Attributes 中指定 Stereoscopic Mode = Side by Side，Projection Format = Equirectangular 180°。" title="圖 2：Clip Attributes 中指定 Stereoscopic Mode = Side by Side，Projection Format = Equirectangular 180°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DD586" w14:textId="77777777" w:rsidR="00221129" w:rsidRDefault="00000000">
      <w:pPr>
        <w:pStyle w:val="ac"/>
      </w:pPr>
      <w:r>
        <w:t>圖 2：Clip Attributes 中指定 Stereoscopic Mode = Side by Side，Projection Format = Equirectangular 180°。</w:t>
      </w:r>
    </w:p>
    <w:p w14:paraId="0325403D" w14:textId="77777777" w:rsidR="00221129" w:rsidRDefault="00000000">
      <w:pPr>
        <w:pStyle w:val="1"/>
        <w:spacing w:before="320"/>
      </w:pPr>
      <w:r>
        <w:t>三、Immersive Viewer：</w:t>
      </w:r>
      <w:proofErr w:type="spellStart"/>
      <w:r>
        <w:t>LatLong</w:t>
      </w:r>
      <w:proofErr w:type="spellEnd"/>
      <w:r>
        <w:t xml:space="preserve"> 與 Viewport</w:t>
      </w:r>
    </w:p>
    <w:p w14:paraId="471E0D5F" w14:textId="77777777" w:rsidR="00221129" w:rsidRDefault="00000000">
      <w:pPr>
        <w:spacing w:after="120"/>
      </w:pPr>
      <w:r>
        <w:t xml:space="preserve">Viewer </w:t>
      </w:r>
      <w:r>
        <w:t>可切換</w:t>
      </w:r>
      <w:r>
        <w:t xml:space="preserve"> </w:t>
      </w:r>
      <w:proofErr w:type="spellStart"/>
      <w:r>
        <w:t>LatLong</w:t>
      </w:r>
      <w:proofErr w:type="spellEnd"/>
      <w:r>
        <w:t xml:space="preserve"> </w:t>
      </w:r>
      <w:r>
        <w:t>與</w:t>
      </w:r>
      <w:r>
        <w:t xml:space="preserve"> Viewport</w:t>
      </w:r>
      <w:r>
        <w:t>。</w:t>
      </w:r>
      <w:proofErr w:type="spellStart"/>
      <w:r>
        <w:t>LatLong</w:t>
      </w:r>
      <w:proofErr w:type="spellEnd"/>
      <w:r>
        <w:t xml:space="preserve"> </w:t>
      </w:r>
      <w:r>
        <w:t>顯示</w:t>
      </w:r>
      <w:r>
        <w:t xml:space="preserve"> equirectangular </w:t>
      </w:r>
      <w:r>
        <w:t>攤平圖；</w:t>
      </w:r>
      <w:r>
        <w:t xml:space="preserve">Viewport </w:t>
      </w:r>
      <w:r>
        <w:t>模擬</w:t>
      </w:r>
      <w:r>
        <w:t xml:space="preserve"> headset </w:t>
      </w:r>
      <w:r>
        <w:t>視角，可拖曳檢查觀看方向。</w:t>
      </w:r>
    </w:p>
    <w:p w14:paraId="66F3CB9B" w14:textId="77777777" w:rsidR="00221129" w:rsidRDefault="00000000">
      <w:pPr>
        <w:spacing w:before="80" w:after="40"/>
        <w:jc w:val="center"/>
      </w:pPr>
      <w:r>
        <w:rPr>
          <w:noProof/>
        </w:rPr>
        <w:drawing>
          <wp:inline distT="0" distB="0" distL="0" distR="0" wp14:anchorId="6BE19682" wp14:editId="4857FB4E">
            <wp:extent cx="3429000" cy="4733925"/>
            <wp:effectExtent l="0" t="0" r="0" b="0"/>
            <wp:docPr id="1573207509" name="截圖 2026-06-14 凌晨1.05.12.png" descr="圖 3：Viewer 選單中的 Immersive 檢視選項。" title="圖 3：Viewer 選單中的 Immersive 檢視選項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6DED6" w14:textId="77777777" w:rsidR="00221129" w:rsidRDefault="00000000">
      <w:pPr>
        <w:pStyle w:val="ac"/>
      </w:pPr>
      <w:r>
        <w:t>圖 3：Viewer 選單中的 Immersive 檢視選項。</w:t>
      </w:r>
    </w:p>
    <w:p w14:paraId="1B2F964E" w14:textId="77777777" w:rsidR="00221129" w:rsidRDefault="00000000">
      <w:pPr>
        <w:spacing w:before="80" w:after="40"/>
        <w:jc w:val="center"/>
      </w:pPr>
      <w:r>
        <w:rPr>
          <w:noProof/>
        </w:rPr>
        <w:lastRenderedPageBreak/>
        <w:drawing>
          <wp:inline distT="0" distB="0" distL="0" distR="0" wp14:anchorId="7250AAF0" wp14:editId="1BBA9D98">
            <wp:extent cx="2857500" cy="2971800"/>
            <wp:effectExtent l="0" t="0" r="0" b="0"/>
            <wp:docPr id="603165711" name="截圖 2026-06-14 凌晨1.05.20.png" descr="圖 4：Viewer 可切換 Timeline、LatLong、Viewport。" title="圖 4：Viewer 可切換 Timeline、LatLong、Viewport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5EAA8" w14:textId="77777777" w:rsidR="00221129" w:rsidRDefault="00000000">
      <w:pPr>
        <w:pStyle w:val="ac"/>
      </w:pPr>
      <w:r>
        <w:t>圖 4：Viewer 可切換 Timeline、</w:t>
      </w:r>
      <w:proofErr w:type="spellStart"/>
      <w:r>
        <w:t>LatLong</w:t>
      </w:r>
      <w:proofErr w:type="spellEnd"/>
      <w:r>
        <w:t>、Viewport。</w:t>
      </w:r>
    </w:p>
    <w:p w14:paraId="7727EAF9" w14:textId="77777777" w:rsidR="00221129" w:rsidRDefault="00000000">
      <w:pPr>
        <w:spacing w:before="80" w:after="40"/>
        <w:jc w:val="center"/>
      </w:pPr>
      <w:r>
        <w:rPr>
          <w:noProof/>
        </w:rPr>
        <w:drawing>
          <wp:inline distT="0" distB="0" distL="0" distR="0" wp14:anchorId="613C92FA" wp14:editId="6BDF7AF3">
            <wp:extent cx="5334000" cy="2809875"/>
            <wp:effectExtent l="0" t="0" r="0" b="0"/>
            <wp:docPr id="894286607" name="截圖 2026-06-14 凌晨1.05.31.png" descr="圖 5：Viewport 模擬 headset 中看到的視角。" title="圖 5：Viewport 模擬 headset 中看到的視角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E3849" w14:textId="77777777" w:rsidR="00221129" w:rsidRDefault="00000000">
      <w:pPr>
        <w:pStyle w:val="ac"/>
      </w:pPr>
      <w:r>
        <w:t>圖 5：Viewport 模擬 headset 中看到的視角。</w:t>
      </w:r>
    </w:p>
    <w:p w14:paraId="0C721CAB" w14:textId="77777777" w:rsidR="00221129" w:rsidRDefault="00000000">
      <w:pPr>
        <w:pStyle w:val="1"/>
        <w:spacing w:before="320"/>
      </w:pPr>
      <w:r>
        <w:t>四、</w:t>
      </w:r>
      <w:proofErr w:type="spellStart"/>
      <w:r>
        <w:t>Fairlight</w:t>
      </w:r>
      <w:proofErr w:type="spellEnd"/>
      <w:r>
        <w:t xml:space="preserve">：啟用 </w:t>
      </w:r>
      <w:proofErr w:type="spellStart"/>
      <w:r>
        <w:t>Ambisonics</w:t>
      </w:r>
      <w:proofErr w:type="spellEnd"/>
    </w:p>
    <w:p w14:paraId="10C27EED" w14:textId="77777777" w:rsidR="00221129" w:rsidRDefault="00000000">
      <w:pPr>
        <w:spacing w:after="120"/>
      </w:pPr>
      <w:proofErr w:type="spellStart"/>
      <w:r>
        <w:t>Fairlight</w:t>
      </w:r>
      <w:proofErr w:type="spellEnd"/>
      <w:r>
        <w:t xml:space="preserve"> </w:t>
      </w:r>
      <w:r>
        <w:t>的</w:t>
      </w:r>
      <w:r>
        <w:t xml:space="preserve"> immersive audio </w:t>
      </w:r>
      <w:r>
        <w:t>先從</w:t>
      </w:r>
      <w:r>
        <w:t xml:space="preserve"> Preferences </w:t>
      </w:r>
      <w:r>
        <w:t>開始。到</w:t>
      </w:r>
      <w:r>
        <w:t xml:space="preserve"> Video and Audio I/O </w:t>
      </w:r>
      <w:r>
        <w:t>的</w:t>
      </w:r>
      <w:r>
        <w:t xml:space="preserve"> Immersive Audio </w:t>
      </w:r>
      <w:r>
        <w:t>區塊勾選</w:t>
      </w:r>
      <w:r>
        <w:t xml:space="preserve"> Enable </w:t>
      </w:r>
      <w:proofErr w:type="spellStart"/>
      <w:r>
        <w:t>Ambisonics</w:t>
      </w:r>
      <w:proofErr w:type="spellEnd"/>
      <w:r>
        <w:t>。</w:t>
      </w:r>
    </w:p>
    <w:p w14:paraId="108C036C" w14:textId="77777777" w:rsidR="00221129" w:rsidRDefault="00000000">
      <w:pPr>
        <w:spacing w:before="80" w:after="40"/>
        <w:jc w:val="center"/>
      </w:pPr>
      <w:r>
        <w:rPr>
          <w:noProof/>
        </w:rPr>
        <w:lastRenderedPageBreak/>
        <w:drawing>
          <wp:inline distT="0" distB="0" distL="0" distR="0" wp14:anchorId="777CBF53" wp14:editId="07C4C785">
            <wp:extent cx="5334000" cy="2714625"/>
            <wp:effectExtent l="0" t="0" r="0" b="0"/>
            <wp:docPr id="735488895" name="截圖 2026-06-14 凌晨1.26.20.png" descr="圖 6：Preferences &gt; Video and Audio I/O &gt; Immersive Audio 中啟用 Enable Ambisonics。" title="圖 6：Preferences &gt; Video and Audio I/O &gt; Immersive Audio 中啟用 Enable Ambisonics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BF7FC" w14:textId="77777777" w:rsidR="00221129" w:rsidRDefault="00000000">
      <w:pPr>
        <w:pStyle w:val="ac"/>
      </w:pPr>
      <w:r>
        <w:t xml:space="preserve">圖 6：Preferences &gt; Video and Audio I/O &gt; Immersive Audio 中啟用 Enable </w:t>
      </w:r>
      <w:proofErr w:type="spellStart"/>
      <w:r>
        <w:t>Ambisonics</w:t>
      </w:r>
      <w:proofErr w:type="spellEnd"/>
      <w:r>
        <w:t>。</w:t>
      </w:r>
    </w:p>
    <w:p w14:paraId="57156FC3" w14:textId="77777777" w:rsidR="00221129" w:rsidRDefault="00000000">
      <w:pPr>
        <w:spacing w:after="120"/>
      </w:pPr>
      <w:r>
        <w:t xml:space="preserve">Blackmagic </w:t>
      </w:r>
      <w:r>
        <w:t>官方說明</w:t>
      </w:r>
      <w:r>
        <w:t xml:space="preserve"> Resolve Studio </w:t>
      </w:r>
      <w:r>
        <w:t>支援</w:t>
      </w:r>
      <w:r>
        <w:t xml:space="preserve"> </w:t>
      </w:r>
      <w:proofErr w:type="spellStart"/>
      <w:r>
        <w:t>Ambisonics</w:t>
      </w:r>
      <w:proofErr w:type="spellEnd"/>
      <w:r>
        <w:t>，最高到</w:t>
      </w:r>
      <w:r>
        <w:t xml:space="preserve"> 5th order</w:t>
      </w:r>
      <w:r>
        <w:t>，並提供</w:t>
      </w:r>
      <w:r>
        <w:t xml:space="preserve"> 3D panner </w:t>
      </w:r>
      <w:r>
        <w:t>與</w:t>
      </w:r>
      <w:r>
        <w:t xml:space="preserve"> 3D Space View</w:t>
      </w:r>
      <w:r>
        <w:t>。本次範例使用</w:t>
      </w:r>
      <w:r>
        <w:t xml:space="preserve"> </w:t>
      </w:r>
      <w:proofErr w:type="spellStart"/>
      <w:r>
        <w:rPr>
          <w:b/>
          <w:bCs/>
        </w:rPr>
        <w:t>Ambisonics</w:t>
      </w:r>
      <w:proofErr w:type="spellEnd"/>
      <w:r>
        <w:rPr>
          <w:b/>
          <w:bCs/>
        </w:rPr>
        <w:t xml:space="preserve"> 2nd order</w:t>
      </w:r>
      <w:r>
        <w:t>。</w:t>
      </w:r>
    </w:p>
    <w:p w14:paraId="6C6D7749" w14:textId="77777777" w:rsidR="00221129" w:rsidRDefault="00000000">
      <w:pPr>
        <w:pStyle w:val="1"/>
        <w:spacing w:before="320"/>
      </w:pPr>
      <w:r>
        <w:t>五、Bus Format：</w:t>
      </w:r>
      <w:proofErr w:type="spellStart"/>
      <w:r>
        <w:t>Ambisonics</w:t>
      </w:r>
      <w:proofErr w:type="spellEnd"/>
      <w:r>
        <w:t xml:space="preserve"> 2nd order</w:t>
      </w:r>
    </w:p>
    <w:p w14:paraId="3E86177E" w14:textId="77777777" w:rsidR="00221129" w:rsidRDefault="00000000">
      <w:pPr>
        <w:spacing w:after="120"/>
      </w:pPr>
      <w:proofErr w:type="spellStart"/>
      <w:r>
        <w:t>Fairlight</w:t>
      </w:r>
      <w:proofErr w:type="spellEnd"/>
      <w:r>
        <w:t xml:space="preserve"> &gt; Bus Format </w:t>
      </w:r>
      <w:r>
        <w:t>中，將</w:t>
      </w:r>
      <w:r>
        <w:t xml:space="preserve"> Bus 1 </w:t>
      </w:r>
      <w:r>
        <w:t>設為</w:t>
      </w:r>
      <w:r>
        <w:t xml:space="preserve"> </w:t>
      </w:r>
      <w:proofErr w:type="spellStart"/>
      <w:r>
        <w:t>Ambisonics</w:t>
      </w:r>
      <w:proofErr w:type="spellEnd"/>
      <w:r>
        <w:t xml:space="preserve"> 2nd order</w:t>
      </w:r>
      <w:r>
        <w:t>。此格式顯示</w:t>
      </w:r>
      <w:r>
        <w:t xml:space="preserve"> 9 channels</w:t>
      </w:r>
      <w:r>
        <w:t>。</w:t>
      </w:r>
    </w:p>
    <w:p w14:paraId="39400CDF" w14:textId="77777777" w:rsidR="00221129" w:rsidRDefault="00000000">
      <w:pPr>
        <w:spacing w:before="80" w:after="40"/>
        <w:jc w:val="center"/>
      </w:pPr>
      <w:r>
        <w:rPr>
          <w:noProof/>
        </w:rPr>
        <w:lastRenderedPageBreak/>
        <w:drawing>
          <wp:inline distT="0" distB="0" distL="0" distR="0" wp14:anchorId="2326F03E" wp14:editId="27DB3379">
            <wp:extent cx="4953000" cy="5248275"/>
            <wp:effectExtent l="0" t="0" r="0" b="0"/>
            <wp:docPr id="55294467" name="截圖 2026-06-14 凌晨1.25.47.png" descr="圖 7：Bus Format 中 Bus 1 設為 Ambisonics 2nd order，Channels 顯示為 9。" title="圖 7：Bus Format 中 Bus 1 設為 Ambisonics 2nd order，Channels 顯示為 9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AA784" w14:textId="77777777" w:rsidR="00221129" w:rsidRDefault="00000000">
      <w:pPr>
        <w:pStyle w:val="ac"/>
      </w:pPr>
      <w:r>
        <w:t xml:space="preserve">圖 7：Bus Format 中 Bus 1 設為 </w:t>
      </w:r>
      <w:proofErr w:type="spellStart"/>
      <w:r>
        <w:t>Ambisonics</w:t>
      </w:r>
      <w:proofErr w:type="spellEnd"/>
      <w:r>
        <w:t xml:space="preserve"> 2nd order，Channels 顯示為 9。</w:t>
      </w:r>
    </w:p>
    <w:p w14:paraId="0A39715C" w14:textId="77777777" w:rsidR="00221129" w:rsidRDefault="00000000">
      <w:pPr>
        <w:spacing w:before="80" w:after="40"/>
        <w:jc w:val="center"/>
      </w:pPr>
      <w:r>
        <w:rPr>
          <w:noProof/>
        </w:rPr>
        <w:drawing>
          <wp:inline distT="0" distB="0" distL="0" distR="0" wp14:anchorId="1F525E3C" wp14:editId="35F5DCE5">
            <wp:extent cx="3619500" cy="2333625"/>
            <wp:effectExtent l="0" t="0" r="0" b="0"/>
            <wp:docPr id="1877195789" name="截圖 2026-06-14 凌晨1.26.02.png" descr="圖 8：Bus / monitoring 格式選項。" title="圖 8：Bus / monitoring 格式選項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E9A4E" w14:textId="77777777" w:rsidR="00221129" w:rsidRDefault="00000000">
      <w:pPr>
        <w:pStyle w:val="ac"/>
      </w:pPr>
      <w:r>
        <w:t>圖 8：Bus / monitoring 格式選項。</w:t>
      </w:r>
    </w:p>
    <w:p w14:paraId="233291E8" w14:textId="77777777" w:rsidR="00221129" w:rsidRDefault="00000000">
      <w:pPr>
        <w:pStyle w:val="1"/>
        <w:spacing w:before="320"/>
      </w:pPr>
      <w:r>
        <w:t>六、Track Panner 與 Automation</w:t>
      </w:r>
    </w:p>
    <w:p w14:paraId="66143683" w14:textId="77777777" w:rsidR="00221129" w:rsidRDefault="00000000">
      <w:pPr>
        <w:spacing w:after="120"/>
      </w:pPr>
      <w:r>
        <w:t>在</w:t>
      </w:r>
      <w:r>
        <w:t xml:space="preserve"> </w:t>
      </w:r>
      <w:proofErr w:type="spellStart"/>
      <w:r>
        <w:t>Fairlight</w:t>
      </w:r>
      <w:proofErr w:type="spellEnd"/>
      <w:r>
        <w:t xml:space="preserve"> timeline </w:t>
      </w:r>
      <w:r>
        <w:t>中選取音軌，開啟</w:t>
      </w:r>
      <w:r>
        <w:t xml:space="preserve"> Pan automation</w:t>
      </w:r>
      <w:r>
        <w:t>。可寫入</w:t>
      </w:r>
      <w:r>
        <w:t xml:space="preserve"> On/Off</w:t>
      </w:r>
      <w:r>
        <w:t>、</w:t>
      </w:r>
      <w:r>
        <w:t>Azimuth</w:t>
      </w:r>
      <w:r>
        <w:t>、</w:t>
      </w:r>
      <w:r>
        <w:lastRenderedPageBreak/>
        <w:t>Elevation</w:t>
      </w:r>
      <w:r>
        <w:t>、</w:t>
      </w:r>
      <w:r>
        <w:t>Radius</w:t>
      </w:r>
      <w:r>
        <w:t>。</w:t>
      </w:r>
    </w:p>
    <w:p w14:paraId="307C3980" w14:textId="77777777" w:rsidR="00221129" w:rsidRDefault="00000000">
      <w:pPr>
        <w:spacing w:before="80" w:after="40"/>
        <w:jc w:val="center"/>
      </w:pPr>
      <w:r>
        <w:rPr>
          <w:noProof/>
        </w:rPr>
        <w:drawing>
          <wp:inline distT="0" distB="0" distL="0" distR="0" wp14:anchorId="34280067" wp14:editId="7DA446A2">
            <wp:extent cx="5334000" cy="1819275"/>
            <wp:effectExtent l="0" t="0" r="0" b="0"/>
            <wp:docPr id="1665949144" name="截圖 2026-06-14 凌晨1.24.43.png" descr="圖 9：Fairlight timeline 中的 boy 音軌。" title="圖 9：Fairlight timeline 中的 boy 音軌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6AB48" w14:textId="77777777" w:rsidR="00221129" w:rsidRDefault="00000000">
      <w:pPr>
        <w:pStyle w:val="ac"/>
      </w:pPr>
      <w:r>
        <w:t>圖 9：</w:t>
      </w:r>
      <w:proofErr w:type="spellStart"/>
      <w:r>
        <w:t>Fairlight</w:t>
      </w:r>
      <w:proofErr w:type="spellEnd"/>
      <w:r>
        <w:t xml:space="preserve"> timeline 中的 boy 音軌。</w:t>
      </w:r>
    </w:p>
    <w:p w14:paraId="02D5C373" w14:textId="77777777" w:rsidR="00221129" w:rsidRDefault="00000000">
      <w:pPr>
        <w:spacing w:before="80" w:after="40"/>
        <w:jc w:val="center"/>
      </w:pPr>
      <w:r>
        <w:rPr>
          <w:noProof/>
        </w:rPr>
        <w:drawing>
          <wp:inline distT="0" distB="0" distL="0" distR="0" wp14:anchorId="22369F2D" wp14:editId="24855199">
            <wp:extent cx="4381500" cy="2438400"/>
            <wp:effectExtent l="0" t="0" r="0" b="0"/>
            <wp:docPr id="2106897234" name="截圖 2026-06-14 凌晨1.25.07.png" descr="圖 10：Track automation 選單中可選 Pan &gt; On/Off、Azimuth、Elevation、Radius。" title="圖 10：Track automation 選單中可選 Pan &gt; On/Off、Azimuth、Elevation、Radius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7C188" w14:textId="77777777" w:rsidR="00221129" w:rsidRDefault="00000000">
      <w:pPr>
        <w:pStyle w:val="ac"/>
      </w:pPr>
      <w:r>
        <w:t>圖 10：Track automation 選單中可選 Pan &gt; On/Off、Azimuth、Elevation、Radius。</w:t>
      </w:r>
    </w:p>
    <w:p w14:paraId="6D88656F" w14:textId="77777777" w:rsidR="00221129" w:rsidRDefault="00000000">
      <w:pPr>
        <w:spacing w:before="80" w:after="40"/>
        <w:jc w:val="center"/>
      </w:pPr>
      <w:r>
        <w:rPr>
          <w:noProof/>
        </w:rPr>
        <w:drawing>
          <wp:inline distT="0" distB="0" distL="0" distR="0" wp14:anchorId="299822AA" wp14:editId="4C76A38E">
            <wp:extent cx="4572000" cy="2457450"/>
            <wp:effectExtent l="0" t="0" r="0" b="0"/>
            <wp:docPr id="1620246064" name="截圖 2026-06-14 凌晨1.22.39.png" descr="圖 11：Panner 介面切到 Spherical 與 3D。" title="圖 11：Panner 介面切到 Spherical 與 3D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83ACD" w14:textId="77777777" w:rsidR="00221129" w:rsidRDefault="00000000">
      <w:pPr>
        <w:pStyle w:val="ac"/>
      </w:pPr>
      <w:r>
        <w:t>圖 11：Panner 介面切到 Spherical 與 3D。</w:t>
      </w:r>
    </w:p>
    <w:p w14:paraId="64E49E77" w14:textId="77777777" w:rsidR="00221129" w:rsidRDefault="00000000">
      <w:pPr>
        <w:spacing w:before="80" w:after="40"/>
        <w:jc w:val="center"/>
      </w:pPr>
      <w:r>
        <w:rPr>
          <w:noProof/>
        </w:rPr>
        <w:lastRenderedPageBreak/>
        <w:drawing>
          <wp:inline distT="0" distB="0" distL="0" distR="0" wp14:anchorId="7E6D6994" wp14:editId="467861A7">
            <wp:extent cx="5334000" cy="1504950"/>
            <wp:effectExtent l="0" t="0" r="0" b="0"/>
            <wp:docPr id="1488403642" name="截圖 2026-06-14 凌晨1.25.14.png" descr="圖 12：Pan automation 線與關鍵點。" title="圖 12：Pan automation 線與關鍵點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02CD3" w14:textId="77777777" w:rsidR="00221129" w:rsidRDefault="00000000">
      <w:pPr>
        <w:pStyle w:val="ac"/>
      </w:pPr>
      <w:r>
        <w:t>圖 12：Pan automation 線與關鍵點。</w:t>
      </w:r>
    </w:p>
    <w:p w14:paraId="68E45C36" w14:textId="77777777" w:rsidR="00221129" w:rsidRDefault="00000000">
      <w:pPr>
        <w:spacing w:after="120"/>
      </w:pPr>
      <w:r>
        <w:t xml:space="preserve">Azimuth </w:t>
      </w:r>
      <w:r>
        <w:t>控制左右方向，</w:t>
      </w:r>
      <w:r>
        <w:t xml:space="preserve">Elevation </w:t>
      </w:r>
      <w:r>
        <w:t>控制上下方向，</w:t>
      </w:r>
      <w:r>
        <w:t xml:space="preserve">Radius </w:t>
      </w:r>
      <w:r>
        <w:t>控制距離。</w:t>
      </w:r>
    </w:p>
    <w:p w14:paraId="1BB28159" w14:textId="77777777" w:rsidR="00221129" w:rsidRDefault="00000000">
      <w:pPr>
        <w:pStyle w:val="1"/>
        <w:spacing w:before="320"/>
      </w:pPr>
      <w:r>
        <w:t>七、Space View：檢查 3D 聲場</w:t>
      </w:r>
    </w:p>
    <w:p w14:paraId="2A19053B" w14:textId="77777777" w:rsidR="00221129" w:rsidRDefault="00000000">
      <w:pPr>
        <w:spacing w:after="120"/>
      </w:pPr>
      <w:proofErr w:type="spellStart"/>
      <w:r>
        <w:t>Fairlight</w:t>
      </w:r>
      <w:proofErr w:type="spellEnd"/>
      <w:r>
        <w:t xml:space="preserve"> &gt; Immersive Audio &gt; Space View </w:t>
      </w:r>
      <w:r>
        <w:t>可開啟</w:t>
      </w:r>
      <w:r>
        <w:t xml:space="preserve"> 3D </w:t>
      </w:r>
      <w:r>
        <w:t>聲場檢視。這裡可看到</w:t>
      </w:r>
      <w:r>
        <w:t xml:space="preserve"> sound source </w:t>
      </w:r>
      <w:r>
        <w:t>的即時位置與</w:t>
      </w:r>
      <w:r>
        <w:t xml:space="preserve"> automation </w:t>
      </w:r>
      <w:r>
        <w:t>移動。</w:t>
      </w:r>
    </w:p>
    <w:p w14:paraId="1CEA705E" w14:textId="77777777" w:rsidR="00221129" w:rsidRDefault="00000000">
      <w:pPr>
        <w:spacing w:before="80" w:after="40"/>
        <w:jc w:val="center"/>
      </w:pPr>
      <w:r>
        <w:rPr>
          <w:noProof/>
        </w:rPr>
        <w:drawing>
          <wp:inline distT="0" distB="0" distL="0" distR="0" wp14:anchorId="13472C7F" wp14:editId="2C82BC09">
            <wp:extent cx="4953000" cy="5067300"/>
            <wp:effectExtent l="0" t="0" r="0" b="0"/>
            <wp:docPr id="602299793" name="截圖 2026-06-14 凌晨1.34.37.png" descr="圖 13：從 Fairlight &gt; Immersive Audio &gt; Space View 開啟 3D 空間檢視。" title="圖 13：從 Fairlight &gt; Immersive Audio &gt; Space View 開啟 3D 空間檢視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58802" w14:textId="77777777" w:rsidR="00221129" w:rsidRDefault="00000000">
      <w:pPr>
        <w:pStyle w:val="ac"/>
      </w:pPr>
      <w:r>
        <w:t xml:space="preserve">圖 13：從 </w:t>
      </w:r>
      <w:proofErr w:type="spellStart"/>
      <w:r>
        <w:t>Fairlight</w:t>
      </w:r>
      <w:proofErr w:type="spellEnd"/>
      <w:r>
        <w:t xml:space="preserve"> &gt; Immersive Audio &gt; Space View 開啟 3D 空間檢視。</w:t>
      </w:r>
    </w:p>
    <w:p w14:paraId="489FA7F7" w14:textId="77777777" w:rsidR="00221129" w:rsidRDefault="00000000">
      <w:pPr>
        <w:spacing w:before="80" w:after="40"/>
        <w:jc w:val="center"/>
      </w:pPr>
      <w:r>
        <w:rPr>
          <w:noProof/>
        </w:rPr>
        <w:lastRenderedPageBreak/>
        <w:drawing>
          <wp:inline distT="0" distB="0" distL="0" distR="0" wp14:anchorId="2E746C14" wp14:editId="436307B1">
            <wp:extent cx="5334000" cy="4305300"/>
            <wp:effectExtent l="0" t="0" r="0" b="0"/>
            <wp:docPr id="1856635338" name="截圖 2026-06-14 凌晨1.35.01.png" descr="圖 14：Space View 中可看到 listener 與 sound source。" title="圖 14：Space View 中可看到 listener 與 sound source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9682" w14:textId="77777777" w:rsidR="00221129" w:rsidRDefault="00000000">
      <w:pPr>
        <w:pStyle w:val="ac"/>
      </w:pPr>
      <w:r>
        <w:t>圖 14：Space View 中可看到 listener 與 sound source。</w:t>
      </w:r>
    </w:p>
    <w:p w14:paraId="61C9C2A8" w14:textId="77777777" w:rsidR="00221129" w:rsidRDefault="00000000">
      <w:pPr>
        <w:pStyle w:val="1"/>
        <w:spacing w:before="320"/>
      </w:pPr>
      <w:r>
        <w:t>八、Tracking 與聲像對位</w:t>
      </w:r>
    </w:p>
    <w:p w14:paraId="143D812C" w14:textId="77777777" w:rsidR="00221129" w:rsidRDefault="00000000">
      <w:pPr>
        <w:spacing w:after="120"/>
      </w:pPr>
      <w:r>
        <w:t xml:space="preserve">Viewer </w:t>
      </w:r>
      <w:r>
        <w:t>左下角選單可開啟</w:t>
      </w:r>
      <w:r>
        <w:t xml:space="preserve"> Tracker Controls</w:t>
      </w:r>
      <w:r>
        <w:t>、</w:t>
      </w:r>
      <w:r>
        <w:t>Immersive</w:t>
      </w:r>
      <w:r>
        <w:t>、</w:t>
      </w:r>
      <w:r>
        <w:t>Headtracking Display</w:t>
      </w:r>
      <w:r>
        <w:t>。追蹤結果可作為聲音</w:t>
      </w:r>
      <w:r>
        <w:t xml:space="preserve"> panner </w:t>
      </w:r>
      <w:r>
        <w:t>對位的參考。</w:t>
      </w:r>
      <w:r>
        <w:t xml:space="preserve">Blackmagic </w:t>
      </w:r>
      <w:r>
        <w:t>也提到</w:t>
      </w:r>
      <w:r>
        <w:t xml:space="preserve"> </w:t>
      </w:r>
      <w:proofErr w:type="spellStart"/>
      <w:r>
        <w:t>IntelliTrack</w:t>
      </w:r>
      <w:proofErr w:type="spellEnd"/>
      <w:r>
        <w:t xml:space="preserve"> AI tracking </w:t>
      </w:r>
      <w:r>
        <w:t>可用</w:t>
      </w:r>
      <w:r>
        <w:t xml:space="preserve"> video </w:t>
      </w:r>
      <w:r>
        <w:t>來</w:t>
      </w:r>
      <w:r>
        <w:t xml:space="preserve"> track </w:t>
      </w:r>
      <w:proofErr w:type="spellStart"/>
      <w:r>
        <w:t>Fairlight</w:t>
      </w:r>
      <w:proofErr w:type="spellEnd"/>
      <w:r>
        <w:t xml:space="preserve"> audio panner</w:t>
      </w:r>
      <w:r>
        <w:t>。</w:t>
      </w:r>
    </w:p>
    <w:p w14:paraId="16913C2B" w14:textId="77777777" w:rsidR="00221129" w:rsidRDefault="00000000">
      <w:pPr>
        <w:spacing w:before="80" w:after="40"/>
        <w:jc w:val="center"/>
      </w:pPr>
      <w:r>
        <w:rPr>
          <w:noProof/>
        </w:rPr>
        <w:lastRenderedPageBreak/>
        <w:drawing>
          <wp:inline distT="0" distB="0" distL="0" distR="0" wp14:anchorId="492AF5A1" wp14:editId="101E03A6">
            <wp:extent cx="3619500" cy="4705350"/>
            <wp:effectExtent l="0" t="0" r="0" b="0"/>
            <wp:docPr id="726555203" name="截圖 2026-06-14 凌晨1.22.21.png" descr="圖 15：Viewer 左下角選單可開啟 Tracker Controls、Immersive 與 Headtracking Display。" title="圖 15：Viewer 左下角選單可開啟 Tracker Controls、Immersive 與 Headtracking Display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E0686" w14:textId="77777777" w:rsidR="00221129" w:rsidRDefault="00000000">
      <w:pPr>
        <w:pStyle w:val="ac"/>
      </w:pPr>
      <w:r>
        <w:t>圖 15：Viewer 左下角選單可開啟 Tracker Controls、Immersive 與 Headtracking Display。</w:t>
      </w:r>
    </w:p>
    <w:p w14:paraId="010D38C5" w14:textId="77777777" w:rsidR="00221129" w:rsidRDefault="00000000">
      <w:pPr>
        <w:spacing w:before="80" w:after="40"/>
        <w:jc w:val="center"/>
      </w:pPr>
      <w:r>
        <w:rPr>
          <w:noProof/>
        </w:rPr>
        <w:drawing>
          <wp:inline distT="0" distB="0" distL="0" distR="0" wp14:anchorId="6A7EA8D4" wp14:editId="181FCFB1">
            <wp:extent cx="5334000" cy="2495550"/>
            <wp:effectExtent l="0" t="0" r="0" b="0"/>
            <wp:docPr id="151387310" name="截圖 2026-06-14 凌晨1.24.48.png" descr="圖 16：畫面中的物件標示可用來對照聲音位置。" title="圖 16：畫面中的物件標示可用來對照聲音位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79B3B" w14:textId="77777777" w:rsidR="00221129" w:rsidRDefault="00000000">
      <w:pPr>
        <w:pStyle w:val="ac"/>
      </w:pPr>
      <w:r>
        <w:t>圖 16：畫面中的物件標示可用來對照聲音位置。</w:t>
      </w:r>
    </w:p>
    <w:p w14:paraId="1D1B1315" w14:textId="77777777" w:rsidR="00221129" w:rsidRDefault="00000000">
      <w:pPr>
        <w:pStyle w:val="1"/>
        <w:spacing w:before="320"/>
      </w:pPr>
      <w:r>
        <w:t>九、快速操作順序</w:t>
      </w:r>
    </w:p>
    <w:p w14:paraId="32B7DA2E" w14:textId="77777777" w:rsidR="00221129" w:rsidRDefault="00000000">
      <w:pPr>
        <w:pStyle w:val="a4"/>
        <w:numPr>
          <w:ilvl w:val="0"/>
          <w:numId w:val="3"/>
        </w:numPr>
        <w:spacing w:after="90"/>
      </w:pPr>
      <w:r>
        <w:t>建立專案前，先確認素材是</w:t>
      </w:r>
      <w:r>
        <w:t xml:space="preserve"> VR180 </w:t>
      </w:r>
      <w:r>
        <w:t>還是</w:t>
      </w:r>
      <w:r>
        <w:t xml:space="preserve"> VR360</w:t>
      </w:r>
      <w:r>
        <w:t>、單眼還是</w:t>
      </w:r>
      <w:r>
        <w:t xml:space="preserve"> stereoscopic</w:t>
      </w:r>
      <w:r>
        <w:t>、左右眼是</w:t>
      </w:r>
      <w:r>
        <w:t xml:space="preserve"> side by side </w:t>
      </w:r>
      <w:r>
        <w:t>還是其他排列。</w:t>
      </w:r>
    </w:p>
    <w:p w14:paraId="5239F079" w14:textId="77777777" w:rsidR="00221129" w:rsidRDefault="00000000">
      <w:pPr>
        <w:pStyle w:val="a4"/>
        <w:numPr>
          <w:ilvl w:val="0"/>
          <w:numId w:val="3"/>
        </w:numPr>
        <w:spacing w:after="90"/>
      </w:pPr>
      <w:r>
        <w:lastRenderedPageBreak/>
        <w:t xml:space="preserve">Project Settings &gt; Master Settings &gt; Immersive workflows </w:t>
      </w:r>
      <w:r>
        <w:t>選</w:t>
      </w:r>
      <w:r>
        <w:t xml:space="preserve"> Standard Immersive</w:t>
      </w:r>
      <w:r>
        <w:t>，並設定符合素材的</w:t>
      </w:r>
      <w:r>
        <w:t xml:space="preserve"> timeline resolution</w:t>
      </w:r>
      <w:r>
        <w:t>。</w:t>
      </w:r>
    </w:p>
    <w:p w14:paraId="13CB4307" w14:textId="77777777" w:rsidR="00221129" w:rsidRDefault="00000000">
      <w:pPr>
        <w:pStyle w:val="a4"/>
        <w:numPr>
          <w:ilvl w:val="0"/>
          <w:numId w:val="3"/>
        </w:numPr>
        <w:spacing w:after="90"/>
      </w:pPr>
      <w:r>
        <w:t>匯入素材後，到</w:t>
      </w:r>
      <w:r>
        <w:t xml:space="preserve"> Clip Attributes </w:t>
      </w:r>
      <w:r>
        <w:t>設定</w:t>
      </w:r>
      <w:r>
        <w:t xml:space="preserve"> Stereoscopic Mode </w:t>
      </w:r>
      <w:r>
        <w:t>與</w:t>
      </w:r>
      <w:r>
        <w:t xml:space="preserve"> Projection Format</w:t>
      </w:r>
      <w:r>
        <w:t>。</w:t>
      </w:r>
    </w:p>
    <w:p w14:paraId="77D71AB0" w14:textId="77777777" w:rsidR="00221129" w:rsidRDefault="00000000">
      <w:pPr>
        <w:pStyle w:val="a4"/>
        <w:numPr>
          <w:ilvl w:val="0"/>
          <w:numId w:val="3"/>
        </w:numPr>
        <w:spacing w:after="90"/>
      </w:pPr>
      <w:r>
        <w:t>在</w:t>
      </w:r>
      <w:r>
        <w:t xml:space="preserve"> Viewer </w:t>
      </w:r>
      <w:r>
        <w:t>中切</w:t>
      </w:r>
      <w:r>
        <w:t xml:space="preserve"> </w:t>
      </w:r>
      <w:proofErr w:type="spellStart"/>
      <w:r>
        <w:t>LatLong</w:t>
      </w:r>
      <w:proofErr w:type="spellEnd"/>
      <w:r>
        <w:t xml:space="preserve"> / Viewport</w:t>
      </w:r>
      <w:r>
        <w:t>，檢查素材方向與觀眾初始視角。</w:t>
      </w:r>
    </w:p>
    <w:p w14:paraId="1227C628" w14:textId="77777777" w:rsidR="00221129" w:rsidRDefault="00000000">
      <w:pPr>
        <w:pStyle w:val="a4"/>
        <w:numPr>
          <w:ilvl w:val="0"/>
          <w:numId w:val="3"/>
        </w:numPr>
        <w:spacing w:after="90"/>
      </w:pPr>
      <w:r>
        <w:t>進</w:t>
      </w:r>
      <w:r>
        <w:t xml:space="preserve"> </w:t>
      </w:r>
      <w:proofErr w:type="spellStart"/>
      <w:r>
        <w:t>Fairlight</w:t>
      </w:r>
      <w:proofErr w:type="spellEnd"/>
      <w:r>
        <w:t>，確認</w:t>
      </w:r>
      <w:r>
        <w:t xml:space="preserve"> Enable </w:t>
      </w:r>
      <w:proofErr w:type="spellStart"/>
      <w:r>
        <w:t>Ambisonics</w:t>
      </w:r>
      <w:proofErr w:type="spellEnd"/>
      <w:r>
        <w:t>，將</w:t>
      </w:r>
      <w:r>
        <w:t xml:space="preserve"> Bus Format </w:t>
      </w:r>
      <w:r>
        <w:t>設為</w:t>
      </w:r>
      <w:r>
        <w:t xml:space="preserve"> </w:t>
      </w:r>
      <w:proofErr w:type="spellStart"/>
      <w:r>
        <w:t>Ambisonics</w:t>
      </w:r>
      <w:proofErr w:type="spellEnd"/>
      <w:r>
        <w:t xml:space="preserve"> 2nd order </w:t>
      </w:r>
      <w:r>
        <w:t>或課程指定格式。</w:t>
      </w:r>
    </w:p>
    <w:p w14:paraId="1AE99585" w14:textId="77777777" w:rsidR="00221129" w:rsidRDefault="00000000">
      <w:pPr>
        <w:pStyle w:val="a4"/>
        <w:numPr>
          <w:ilvl w:val="0"/>
          <w:numId w:val="3"/>
        </w:numPr>
        <w:spacing w:after="90"/>
      </w:pPr>
      <w:r>
        <w:t>在音軌開啟</w:t>
      </w:r>
      <w:r>
        <w:t xml:space="preserve"> panner</w:t>
      </w:r>
      <w:r>
        <w:t>，切到</w:t>
      </w:r>
      <w:r>
        <w:t xml:space="preserve"> Spherical / 3D</w:t>
      </w:r>
      <w:r>
        <w:t>，設定或寫入</w:t>
      </w:r>
      <w:r>
        <w:t xml:space="preserve"> Pan automation</w:t>
      </w:r>
      <w:r>
        <w:t>。</w:t>
      </w:r>
    </w:p>
    <w:p w14:paraId="0E19D082" w14:textId="77777777" w:rsidR="00221129" w:rsidRDefault="00000000">
      <w:pPr>
        <w:pStyle w:val="a4"/>
        <w:numPr>
          <w:ilvl w:val="0"/>
          <w:numId w:val="3"/>
        </w:numPr>
        <w:spacing w:after="90"/>
      </w:pPr>
      <w:r>
        <w:t>開</w:t>
      </w:r>
      <w:r>
        <w:t xml:space="preserve"> Space View </w:t>
      </w:r>
      <w:r>
        <w:t>檢查</w:t>
      </w:r>
      <w:r>
        <w:t xml:space="preserve"> sound source </w:t>
      </w:r>
      <w:r>
        <w:t>的位置。</w:t>
      </w:r>
    </w:p>
    <w:p w14:paraId="0F60BFC1" w14:textId="77777777" w:rsidR="00221129" w:rsidRDefault="00000000">
      <w:pPr>
        <w:pStyle w:val="a4"/>
        <w:numPr>
          <w:ilvl w:val="0"/>
          <w:numId w:val="3"/>
        </w:numPr>
        <w:spacing w:after="90"/>
      </w:pPr>
      <w:r>
        <w:t>需要與畫面物件對位時，再使用</w:t>
      </w:r>
      <w:r>
        <w:t xml:space="preserve"> tracking </w:t>
      </w:r>
      <w:r>
        <w:t>作為參考。</w:t>
      </w:r>
    </w:p>
    <w:p w14:paraId="0DA90F41" w14:textId="77777777" w:rsidR="00221129" w:rsidRDefault="00000000">
      <w:pPr>
        <w:pStyle w:val="1"/>
        <w:spacing w:before="320"/>
      </w:pPr>
      <w:r>
        <w:t>十、渲染先保留</w:t>
      </w:r>
    </w:p>
    <w:p w14:paraId="29BAF6AC" w14:textId="77777777" w:rsidR="00221129" w:rsidRDefault="00000000">
      <w:pPr>
        <w:spacing w:after="120"/>
      </w:pPr>
      <w:r>
        <w:t xml:space="preserve">Resolve 21 </w:t>
      </w:r>
      <w:r>
        <w:t>有</w:t>
      </w:r>
      <w:r>
        <w:t xml:space="preserve"> VR 180/360 delivery preset</w:t>
      </w:r>
      <w:r>
        <w:t>，可對應</w:t>
      </w:r>
      <w:r>
        <w:t xml:space="preserve"> Meta Quest </w:t>
      </w:r>
      <w:r>
        <w:t>等</w:t>
      </w:r>
      <w:r>
        <w:t xml:space="preserve"> VR </w:t>
      </w:r>
      <w:r>
        <w:t>播放環境。若素材是</w:t>
      </w:r>
      <w:r>
        <w:t xml:space="preserve"> 3D</w:t>
      </w:r>
      <w:r>
        <w:t>，還需要再確認</w:t>
      </w:r>
      <w:r>
        <w:t xml:space="preserve"> stereoscopic </w:t>
      </w:r>
      <w:r>
        <w:t>相關輸出設定。本份筆記先不展開渲染流程。</w:t>
      </w:r>
    </w:p>
    <w:p w14:paraId="0495F7F5" w14:textId="77777777" w:rsidR="00221129" w:rsidRDefault="00000000">
      <w:pPr>
        <w:pStyle w:val="1"/>
        <w:spacing w:before="320"/>
      </w:pPr>
      <w:r>
        <w:t>十一、參考資料</w:t>
      </w:r>
    </w:p>
    <w:p w14:paraId="085632D2" w14:textId="77777777" w:rsidR="00221129" w:rsidRDefault="00000000">
      <w:pPr>
        <w:spacing w:after="120"/>
      </w:pPr>
      <w:hyperlink r:id="rId23" w:history="1">
        <w:r>
          <w:rPr>
            <w:rStyle w:val="a5"/>
          </w:rPr>
          <w:t>Blackmagic Design: DaVinci Resolve 21 New Features Guide, April 2026</w:t>
        </w:r>
      </w:hyperlink>
    </w:p>
    <w:p w14:paraId="6DE85A55" w14:textId="77777777" w:rsidR="00221129" w:rsidRDefault="00000000">
      <w:pPr>
        <w:spacing w:after="120"/>
      </w:pPr>
      <w:hyperlink r:id="rId24" w:history="1">
        <w:r>
          <w:rPr>
            <w:rStyle w:val="a5"/>
          </w:rPr>
          <w:t>Blackmagic Design: DaVinci Resolve product page</w:t>
        </w:r>
      </w:hyperlink>
    </w:p>
    <w:p w14:paraId="05DE69FD" w14:textId="77777777" w:rsidR="00221129" w:rsidRDefault="00000000">
      <w:pPr>
        <w:spacing w:after="120"/>
      </w:pPr>
      <w:hyperlink r:id="rId25" w:history="1">
        <w:r>
          <w:rPr>
            <w:rStyle w:val="a5"/>
          </w:rPr>
          <w:t>Blackmagic Design: DaVinci Resolve Studio page - Immersive 3D Audio</w:t>
        </w:r>
      </w:hyperlink>
    </w:p>
    <w:p w14:paraId="4094D32C" w14:textId="77777777" w:rsidR="00221129" w:rsidRDefault="00000000">
      <w:pPr>
        <w:spacing w:after="120"/>
      </w:pPr>
      <w:hyperlink r:id="rId26" w:history="1">
        <w:r>
          <w:rPr>
            <w:rStyle w:val="a5"/>
          </w:rPr>
          <w:t>Blackmagic Design: DaVinci Resolve 20.1 New Features Guide - Fairlight Space View / Ambisonics</w:t>
        </w:r>
      </w:hyperlink>
    </w:p>
    <w:p w14:paraId="287604AB" w14:textId="1B2ADF5F" w:rsidR="00221129" w:rsidRDefault="00221129">
      <w:pPr>
        <w:spacing w:after="120"/>
      </w:pPr>
    </w:p>
    <w:sectPr w:rsidR="00221129">
      <w:headerReference w:type="default" r:id="rId27"/>
      <w:footerReference w:type="default" r:id="rId28"/>
      <w:pgSz w:w="11906" w:h="16838"/>
      <w:pgMar w:top="1152" w:right="1080" w:bottom="1152" w:left="108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4E444" w14:textId="77777777" w:rsidR="003D38D1" w:rsidRDefault="003D38D1">
      <w:r>
        <w:separator/>
      </w:r>
    </w:p>
  </w:endnote>
  <w:endnote w:type="continuationSeparator" w:id="0">
    <w:p w14:paraId="22A3BA02" w14:textId="77777777" w:rsidR="003D38D1" w:rsidRDefault="003D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ingFang TC"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1B02D" w14:textId="77777777" w:rsidR="00221129" w:rsidRDefault="00000000">
    <w:pPr>
      <w:jc w:val="center"/>
    </w:pPr>
    <w:r>
      <w:rPr>
        <w:color w:val="6B7280"/>
        <w:sz w:val="18"/>
        <w:szCs w:val="18"/>
      </w:rPr>
      <w:t xml:space="preserve">Page </w:t>
    </w:r>
    <w:r>
      <w:rPr>
        <w:color w:val="6B7280"/>
        <w:sz w:val="18"/>
        <w:szCs w:val="18"/>
      </w:rPr>
      <w:fldChar w:fldCharType="begin"/>
    </w:r>
    <w:r>
      <w:rPr>
        <w:color w:val="6B7280"/>
        <w:sz w:val="18"/>
        <w:szCs w:val="18"/>
      </w:rPr>
      <w:instrText>PAGE</w:instrText>
    </w:r>
    <w:r>
      <w:rPr>
        <w:color w:val="6B7280"/>
        <w:sz w:val="18"/>
        <w:szCs w:val="18"/>
      </w:rPr>
      <w:fldChar w:fldCharType="separate"/>
    </w:r>
    <w:r w:rsidR="002E406A">
      <w:rPr>
        <w:noProof/>
        <w:color w:val="6B7280"/>
        <w:sz w:val="18"/>
        <w:szCs w:val="18"/>
      </w:rPr>
      <w:t>1</w:t>
    </w:r>
    <w:r>
      <w:rPr>
        <w:color w:val="6B7280"/>
        <w:sz w:val="18"/>
        <w:szCs w:val="18"/>
      </w:rPr>
      <w:fldChar w:fldCharType="end"/>
    </w:r>
    <w:r>
      <w:rPr>
        <w:color w:val="6B7280"/>
        <w:sz w:val="18"/>
        <w:szCs w:val="18"/>
      </w:rPr>
      <w:t xml:space="preserve"> of </w:t>
    </w:r>
    <w:r>
      <w:rPr>
        <w:color w:val="6B7280"/>
        <w:sz w:val="18"/>
        <w:szCs w:val="18"/>
      </w:rPr>
      <w:fldChar w:fldCharType="begin"/>
    </w:r>
    <w:r>
      <w:rPr>
        <w:color w:val="6B7280"/>
        <w:sz w:val="18"/>
        <w:szCs w:val="18"/>
      </w:rPr>
      <w:instrText>NUMPAGES</w:instrText>
    </w:r>
    <w:r>
      <w:rPr>
        <w:color w:val="6B7280"/>
        <w:sz w:val="18"/>
        <w:szCs w:val="18"/>
      </w:rPr>
      <w:fldChar w:fldCharType="separate"/>
    </w:r>
    <w:r w:rsidR="002E406A">
      <w:rPr>
        <w:noProof/>
        <w:color w:val="6B7280"/>
        <w:sz w:val="18"/>
        <w:szCs w:val="18"/>
      </w:rPr>
      <w:t>2</w:t>
    </w:r>
    <w:r>
      <w:rPr>
        <w:color w:val="6B728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A031F" w14:textId="77777777" w:rsidR="003D38D1" w:rsidRDefault="003D38D1">
      <w:r>
        <w:separator/>
      </w:r>
    </w:p>
  </w:footnote>
  <w:footnote w:type="continuationSeparator" w:id="0">
    <w:p w14:paraId="3AEC046F" w14:textId="77777777" w:rsidR="003D38D1" w:rsidRDefault="003D38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9EF60" w14:textId="77777777" w:rsidR="00221129" w:rsidRDefault="00000000">
    <w:pPr>
      <w:jc w:val="right"/>
    </w:pPr>
    <w:r>
      <w:rPr>
        <w:color w:val="6B7280"/>
        <w:sz w:val="18"/>
        <w:szCs w:val="18"/>
      </w:rPr>
      <w:t xml:space="preserve">DaVinci Resolve 21 Immersive </w:t>
    </w:r>
    <w:r>
      <w:rPr>
        <w:color w:val="6B7280"/>
        <w:sz w:val="18"/>
        <w:szCs w:val="18"/>
      </w:rPr>
      <w:t>研究筆記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41DD2"/>
    <w:multiLevelType w:val="hybridMultilevel"/>
    <w:tmpl w:val="8E76EA24"/>
    <w:lvl w:ilvl="0" w:tplc="F7F40A7C">
      <w:start w:val="1"/>
      <w:numFmt w:val="bullet"/>
      <w:lvlText w:val="●"/>
      <w:lvlJc w:val="left"/>
      <w:pPr>
        <w:ind w:left="720" w:hanging="360"/>
      </w:pPr>
    </w:lvl>
    <w:lvl w:ilvl="1" w:tplc="8F789762">
      <w:start w:val="1"/>
      <w:numFmt w:val="bullet"/>
      <w:lvlText w:val="○"/>
      <w:lvlJc w:val="left"/>
      <w:pPr>
        <w:ind w:left="1440" w:hanging="360"/>
      </w:pPr>
    </w:lvl>
    <w:lvl w:ilvl="2" w:tplc="0C4E4FEE">
      <w:start w:val="1"/>
      <w:numFmt w:val="bullet"/>
      <w:lvlText w:val="■"/>
      <w:lvlJc w:val="left"/>
      <w:pPr>
        <w:ind w:left="2160" w:hanging="360"/>
      </w:pPr>
    </w:lvl>
    <w:lvl w:ilvl="3" w:tplc="D4F8AECC">
      <w:start w:val="1"/>
      <w:numFmt w:val="bullet"/>
      <w:lvlText w:val="●"/>
      <w:lvlJc w:val="left"/>
      <w:pPr>
        <w:ind w:left="2880" w:hanging="360"/>
      </w:pPr>
    </w:lvl>
    <w:lvl w:ilvl="4" w:tplc="7CEE1B34">
      <w:start w:val="1"/>
      <w:numFmt w:val="bullet"/>
      <w:lvlText w:val="○"/>
      <w:lvlJc w:val="left"/>
      <w:pPr>
        <w:ind w:left="3600" w:hanging="360"/>
      </w:pPr>
    </w:lvl>
    <w:lvl w:ilvl="5" w:tplc="F02C89D8">
      <w:start w:val="1"/>
      <w:numFmt w:val="bullet"/>
      <w:lvlText w:val="■"/>
      <w:lvlJc w:val="left"/>
      <w:pPr>
        <w:ind w:left="4320" w:hanging="360"/>
      </w:pPr>
    </w:lvl>
    <w:lvl w:ilvl="6" w:tplc="C0B09652">
      <w:start w:val="1"/>
      <w:numFmt w:val="bullet"/>
      <w:lvlText w:val="●"/>
      <w:lvlJc w:val="left"/>
      <w:pPr>
        <w:ind w:left="5040" w:hanging="360"/>
      </w:pPr>
    </w:lvl>
    <w:lvl w:ilvl="7" w:tplc="37C84BFA">
      <w:start w:val="1"/>
      <w:numFmt w:val="bullet"/>
      <w:lvlText w:val="●"/>
      <w:lvlJc w:val="left"/>
      <w:pPr>
        <w:ind w:left="5760" w:hanging="360"/>
      </w:pPr>
    </w:lvl>
    <w:lvl w:ilvl="8" w:tplc="362A4282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38514A2F"/>
    <w:multiLevelType w:val="hybridMultilevel"/>
    <w:tmpl w:val="4B7C32D4"/>
    <w:lvl w:ilvl="0" w:tplc="77AEAA82">
      <w:start w:val="1"/>
      <w:numFmt w:val="decimal"/>
      <w:lvlText w:val="%1."/>
      <w:lvlJc w:val="left"/>
      <w:pPr>
        <w:ind w:left="520" w:hanging="260"/>
      </w:pPr>
    </w:lvl>
    <w:lvl w:ilvl="1" w:tplc="C4A6A20A">
      <w:numFmt w:val="decimal"/>
      <w:lvlText w:val=""/>
      <w:lvlJc w:val="left"/>
    </w:lvl>
    <w:lvl w:ilvl="2" w:tplc="E682BF8A">
      <w:numFmt w:val="decimal"/>
      <w:lvlText w:val=""/>
      <w:lvlJc w:val="left"/>
    </w:lvl>
    <w:lvl w:ilvl="3" w:tplc="A51A7B32">
      <w:numFmt w:val="decimal"/>
      <w:lvlText w:val=""/>
      <w:lvlJc w:val="left"/>
    </w:lvl>
    <w:lvl w:ilvl="4" w:tplc="B30C5026">
      <w:numFmt w:val="decimal"/>
      <w:lvlText w:val=""/>
      <w:lvlJc w:val="left"/>
    </w:lvl>
    <w:lvl w:ilvl="5" w:tplc="2A6CE462">
      <w:numFmt w:val="decimal"/>
      <w:lvlText w:val=""/>
      <w:lvlJc w:val="left"/>
    </w:lvl>
    <w:lvl w:ilvl="6" w:tplc="160E723C">
      <w:numFmt w:val="decimal"/>
      <w:lvlText w:val=""/>
      <w:lvlJc w:val="left"/>
    </w:lvl>
    <w:lvl w:ilvl="7" w:tplc="DA6E3704">
      <w:numFmt w:val="decimal"/>
      <w:lvlText w:val=""/>
      <w:lvlJc w:val="left"/>
    </w:lvl>
    <w:lvl w:ilvl="8" w:tplc="0C882DDC">
      <w:numFmt w:val="decimal"/>
      <w:lvlText w:val=""/>
      <w:lvlJc w:val="left"/>
    </w:lvl>
  </w:abstractNum>
  <w:abstractNum w:abstractNumId="2" w15:restartNumberingAfterBreak="0">
    <w:nsid w:val="47D85EDE"/>
    <w:multiLevelType w:val="hybridMultilevel"/>
    <w:tmpl w:val="5CF0F496"/>
    <w:lvl w:ilvl="0" w:tplc="B240EC50">
      <w:start w:val="1"/>
      <w:numFmt w:val="bullet"/>
      <w:lvlText w:val="•"/>
      <w:lvlJc w:val="left"/>
      <w:pPr>
        <w:ind w:left="520" w:hanging="260"/>
      </w:pPr>
    </w:lvl>
    <w:lvl w:ilvl="1" w:tplc="58A2CA70">
      <w:numFmt w:val="decimal"/>
      <w:lvlText w:val=""/>
      <w:lvlJc w:val="left"/>
    </w:lvl>
    <w:lvl w:ilvl="2" w:tplc="B7526092">
      <w:numFmt w:val="decimal"/>
      <w:lvlText w:val=""/>
      <w:lvlJc w:val="left"/>
    </w:lvl>
    <w:lvl w:ilvl="3" w:tplc="5CE40612">
      <w:numFmt w:val="decimal"/>
      <w:lvlText w:val=""/>
      <w:lvlJc w:val="left"/>
    </w:lvl>
    <w:lvl w:ilvl="4" w:tplc="570862B8">
      <w:numFmt w:val="decimal"/>
      <w:lvlText w:val=""/>
      <w:lvlJc w:val="left"/>
    </w:lvl>
    <w:lvl w:ilvl="5" w:tplc="85C20728">
      <w:numFmt w:val="decimal"/>
      <w:lvlText w:val=""/>
      <w:lvlJc w:val="left"/>
    </w:lvl>
    <w:lvl w:ilvl="6" w:tplc="C846BA20">
      <w:numFmt w:val="decimal"/>
      <w:lvlText w:val=""/>
      <w:lvlJc w:val="left"/>
    </w:lvl>
    <w:lvl w:ilvl="7" w:tplc="F63AB228">
      <w:numFmt w:val="decimal"/>
      <w:lvlText w:val=""/>
      <w:lvlJc w:val="left"/>
    </w:lvl>
    <w:lvl w:ilvl="8" w:tplc="434C310C">
      <w:numFmt w:val="decimal"/>
      <w:lvlText w:val=""/>
      <w:lvlJc w:val="left"/>
    </w:lvl>
  </w:abstractNum>
  <w:abstractNum w:abstractNumId="3" w15:restartNumberingAfterBreak="0">
    <w:nsid w:val="7B070A03"/>
    <w:multiLevelType w:val="hybridMultilevel"/>
    <w:tmpl w:val="9B5212A8"/>
    <w:lvl w:ilvl="0" w:tplc="260AB776">
      <w:start w:val="1"/>
      <w:numFmt w:val="decimal"/>
      <w:lvlText w:val="%1."/>
      <w:lvlJc w:val="left"/>
      <w:pPr>
        <w:ind w:left="520" w:hanging="260"/>
      </w:pPr>
    </w:lvl>
    <w:lvl w:ilvl="1" w:tplc="B0763D76">
      <w:numFmt w:val="decimal"/>
      <w:lvlText w:val=""/>
      <w:lvlJc w:val="left"/>
    </w:lvl>
    <w:lvl w:ilvl="2" w:tplc="4DD44992">
      <w:numFmt w:val="decimal"/>
      <w:lvlText w:val=""/>
      <w:lvlJc w:val="left"/>
    </w:lvl>
    <w:lvl w:ilvl="3" w:tplc="CE5E8F46">
      <w:numFmt w:val="decimal"/>
      <w:lvlText w:val=""/>
      <w:lvlJc w:val="left"/>
    </w:lvl>
    <w:lvl w:ilvl="4" w:tplc="DF04552A">
      <w:numFmt w:val="decimal"/>
      <w:lvlText w:val=""/>
      <w:lvlJc w:val="left"/>
    </w:lvl>
    <w:lvl w:ilvl="5" w:tplc="87123E3A">
      <w:numFmt w:val="decimal"/>
      <w:lvlText w:val=""/>
      <w:lvlJc w:val="left"/>
    </w:lvl>
    <w:lvl w:ilvl="6" w:tplc="B89485D6">
      <w:numFmt w:val="decimal"/>
      <w:lvlText w:val=""/>
      <w:lvlJc w:val="left"/>
    </w:lvl>
    <w:lvl w:ilvl="7" w:tplc="DD465A7E">
      <w:numFmt w:val="decimal"/>
      <w:lvlText w:val=""/>
      <w:lvlJc w:val="left"/>
    </w:lvl>
    <w:lvl w:ilvl="8" w:tplc="F0B29E4C">
      <w:numFmt w:val="decimal"/>
      <w:lvlText w:val=""/>
      <w:lvlJc w:val="left"/>
    </w:lvl>
  </w:abstractNum>
  <w:num w:numId="1" w16cid:durableId="1238200390">
    <w:abstractNumId w:val="0"/>
    <w:lvlOverride w:ilvl="0">
      <w:startOverride w:val="1"/>
    </w:lvlOverride>
  </w:num>
  <w:num w:numId="2" w16cid:durableId="1657802329">
    <w:abstractNumId w:val="1"/>
    <w:lvlOverride w:ilvl="0">
      <w:startOverride w:val="1"/>
    </w:lvlOverride>
  </w:num>
  <w:num w:numId="3" w16cid:durableId="1661153778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displayBackgroundShape/>
  <w:bordersDoNotSurroundHeader/>
  <w:bordersDoNotSurroundFooter/>
  <w:proofState w:spelling="clean" w:grammar="clean"/>
  <w:defaultTabStop w:val="48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129"/>
    <w:rsid w:val="00221129"/>
    <w:rsid w:val="002E406A"/>
    <w:rsid w:val="003D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008A91"/>
  <w15:docId w15:val="{FC267961-295B-6946-9A98-B21AAEA46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ingFang TC" w:eastAsiaTheme="minorEastAsia" w:hAnsi="PingFang TC" w:cs="PingFang TC"/>
        <w:sz w:val="23"/>
        <w:szCs w:val="23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uiPriority w:val="9"/>
    <w:qFormat/>
    <w:pPr>
      <w:spacing w:before="300" w:after="120"/>
      <w:outlineLvl w:val="0"/>
    </w:pPr>
    <w:rPr>
      <w:rFonts w:eastAsia="PingFang TC"/>
      <w:b/>
      <w:bCs/>
      <w:color w:val="17324D"/>
      <w:sz w:val="30"/>
      <w:szCs w:val="30"/>
    </w:rPr>
  </w:style>
  <w:style w:type="paragraph" w:styleId="2">
    <w:name w:val="heading 2"/>
    <w:uiPriority w:val="9"/>
    <w:semiHidden/>
    <w:unhideWhenUsed/>
    <w:qFormat/>
    <w:pPr>
      <w:spacing w:before="220" w:after="100"/>
      <w:outlineLvl w:val="1"/>
    </w:pPr>
    <w:rPr>
      <w:rFonts w:eastAsia="PingFang TC"/>
      <w:b/>
      <w:bCs/>
      <w:color w:val="253B52"/>
      <w:sz w:val="26"/>
      <w:szCs w:val="26"/>
    </w:rPr>
  </w:style>
  <w:style w:type="paragraph" w:styleId="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pPr>
      <w:spacing w:before="240" w:after="160"/>
      <w:jc w:val="center"/>
    </w:pPr>
    <w:rPr>
      <w:rFonts w:eastAsia="PingFang TC"/>
      <w:b/>
      <w:bCs/>
      <w:color w:val="1D2A35"/>
      <w:sz w:val="36"/>
      <w:szCs w:val="36"/>
    </w:rPr>
  </w:style>
  <w:style w:type="paragraph" w:customStyle="1" w:styleId="10">
    <w:name w:val="強調粗體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  <w:rPr>
      <w:sz w:val="20"/>
      <w:szCs w:val="20"/>
    </w:rPr>
  </w:style>
  <w:style w:type="character" w:customStyle="1" w:styleId="a8">
    <w:name w:val="註腳文字 字元"/>
    <w:link w:val="a7"/>
    <w:uiPriority w:val="99"/>
    <w:semiHidden/>
    <w:unhideWhenUsed/>
    <w:rPr>
      <w:sz w:val="20"/>
      <w:szCs w:val="20"/>
    </w:rPr>
  </w:style>
  <w:style w:type="character" w:styleId="a9">
    <w:name w:val="endnote reference"/>
    <w:uiPriority w:val="99"/>
    <w:semiHidden/>
    <w:unhideWhenUsed/>
    <w:rPr>
      <w:vertAlign w:val="superscript"/>
    </w:rPr>
  </w:style>
  <w:style w:type="paragraph" w:styleId="aa">
    <w:name w:val="endnote text"/>
    <w:link w:val="ab"/>
    <w:uiPriority w:val="99"/>
    <w:semiHidden/>
    <w:unhideWhenUsed/>
    <w:rPr>
      <w:sz w:val="20"/>
      <w:szCs w:val="20"/>
    </w:rPr>
  </w:style>
  <w:style w:type="character" w:customStyle="1" w:styleId="ab">
    <w:name w:val="章節附註文字 字元"/>
    <w:link w:val="aa"/>
    <w:uiPriority w:val="99"/>
    <w:semiHidden/>
    <w:unhideWhenUsed/>
    <w:rPr>
      <w:sz w:val="20"/>
      <w:szCs w:val="20"/>
    </w:rPr>
  </w:style>
  <w:style w:type="paragraph" w:styleId="ac">
    <w:name w:val="caption"/>
    <w:pPr>
      <w:spacing w:after="160"/>
      <w:jc w:val="center"/>
    </w:pPr>
    <w:rPr>
      <w:rFonts w:eastAsia="PingFang TC"/>
      <w:i/>
      <w:iCs/>
      <w:color w:val="56616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documents.blackmagicdesign.com/SupportNotes/DaVinci_Resolve_20.1_New_Features_Guide.pdf?_v=175610521000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blackmagicdesign.com/products/davinciresolve/studio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blackmagicdesign.com/products/davinciresolve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documents.blackmagicdesign.com/SupportNotes/DaVinci_Resolve_21_New_Features_Guide.pdf?_v=1776322810000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566</Words>
  <Characters>3229</Characters>
  <Application>Microsoft Office Word</Application>
  <DocSecurity>0</DocSecurity>
  <Lines>26</Lines>
  <Paragraphs>7</Paragraphs>
  <ScaleCrop>false</ScaleCrop>
  <Company/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DaVinci Resolve 21 Standard Immersive 與 Fairlight Ambisonics 研究筆記</dc:title>
  <dc:creator>Codex</dc:creator>
  <dc:description>A teaching note about DaVinci Resolve 21 Standard Immersive video and Fairlight Ambisonics workflows.</dc:description>
  <cp:lastModifiedBy>chiaweistudio</cp:lastModifiedBy>
  <cp:revision>2</cp:revision>
  <dcterms:created xsi:type="dcterms:W3CDTF">2026-06-13T18:37:00Z</dcterms:created>
  <dcterms:modified xsi:type="dcterms:W3CDTF">2026-06-13T18:44:00Z</dcterms:modified>
</cp:coreProperties>
</file>